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media/image1.jpeg" ContentType="image/jpeg"/>
  <Override PartName="/word/media/image2.jpeg" ContentType="image/jpeg"/>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02 March 2026</w:t>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Dear parent or carer</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Inspection of Tenacres First School by Ofsted</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I have spoken earlier today with the [principal/headteacher/senior leader] of your child's school to let them know that Ofsted will be inspecting the school on 03 March 2026. The lead inspector will be Keri Baylis, HMI.</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 xml:space="preserve">Your views about the school are very important to us. </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We are writing to you because we would like to know what you think about the school. We are keen to find out what it is typically like to be a pupil at the school and how well, from your experience, the school supports your child to achieve the best possible outcomes.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If you are a parent or carer of a registered pupil at the school (including pupils who are absent or who are temporarily excluded), please tell us your views about the school by completing Ofsted's online survey, Ofsted Parent View, at: </w:t>
      </w:r>
      <w:hyperlink r:id="rId2">
        <w:r>
          <w:rPr>
            <w:rStyle w:val="Hyperlink"/>
            <w:b w:val="false"/>
            <w:color w:val="0000FF"/>
            <w:sz w:val="24"/>
            <w:u w:val="none"/>
          </w:rPr>
          <w:t>https://parentview.ofsted.gov.uk</w:t>
        </w:r>
      </w:hyperlink>
      <w:r>
        <w:rPr>
          <w:b w:val="false"/>
          <w:color w:val="000000"/>
          <w:sz w:val="24"/>
        </w:rPr>
        <w: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Ofsted Parent View asks for your opinion on some aspects of your child's school, including the progress made by your child, the quality of teaching, and how the school deals with bullying and poor behaviour. It also provides a free-text box for you to make additional comments, if you wish. The information you provide via Ofsted Parent View will be treated in absolute confidence. The inspector(s) will take into account any online survey responses when inspecting your child's school. You can also send written comments to the school in a sealed envelope, marked 'confidential' and addressed to the inspection team.</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To submit your views, you should register for Ofsted Parent View via the above link. As part of the registration process, you will be asked to provide your email address, which will be held securely, in accordance with our Privacy Policy. It will not be used for any purpose other than providing access to the Parent View service. Schools will not have access to any email addresses provided.</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Please complete the online survey by </w:t>
      </w:r>
      <w:r>
        <w:rPr>
          <w:b/>
          <w:color w:val="000000"/>
          <w:sz w:val="24"/>
        </w:rPr>
        <w:t xml:space="preserve">11am </w:t>
      </w:r>
      <w:r>
        <w:rPr>
          <w:b w:val="false"/>
          <w:color w:val="000000"/>
          <w:sz w:val="24"/>
        </w:rPr>
        <w:t>on 03 March 2026 as this will give the inspection team more time to consider your views. We will consider all online responses that are completed during the inspection. However, the free-text box facility will not be available after noon on 04 March 2026.</w:t>
      </w:r>
    </w:p>
    <w:p>
      <w:pPr>
        <w:pStyle w:val="Normal"/>
        <w:bidi w:val="0"/>
        <w:jc w:val="start"/>
        <w:rPr>
          <w:rFonts w:ascii="Tahoma" w:hAnsi="Tahoma"/>
          <w:sz w:val="24"/>
        </w:rPr>
      </w:pPr>
      <w:r>
        <w:rPr>
          <w:sz w:val="24"/>
        </w:rPr>
      </w:r>
      <w:r>
        <w:br w:type="page"/>
      </w:r>
    </w:p>
    <w:p>
      <w:pPr>
        <w:pStyle w:val="Normal"/>
        <w:bidi w:val="0"/>
        <w:spacing w:lineRule="exact" w:line="6" w:before="0" w:after="0"/>
        <w:jc w:val="start"/>
        <w:rPr/>
      </w:pPr>
      <w:r>
        <w:rPr/>
      </w:r>
    </w:p>
    <w:p>
      <w:pPr>
        <w:pStyle w:val="Normal"/>
        <w:bidi w:val="0"/>
        <w:jc w:val="start"/>
        <w:rPr>
          <w:rFonts w:ascii="Tahoma" w:hAnsi="Tahoma"/>
          <w:b/>
          <w:color w:val="000000"/>
          <w:sz w:val="24"/>
        </w:rPr>
      </w:pPr>
      <w:r>
        <w:rPr>
          <w:b/>
          <w:color w:val="000000"/>
          <w:sz w:val="24"/>
        </w:rPr>
        <w:t>Speaking with or writing to an inspector</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If you are unable to complete the online survey, it may be possible to speak with an inspector during the inspection, for instance at the start of the school day, or to pass on messages to the inspectors if you are unable to speak with them in person. Inspection administrators will be happy to make the necessary arrangements. If concerns are raised about child protection, we may have to pass the information we receive to social services or the police. You can contact the administrators on 03000131358. Inspectors will be pleased to receive your comments but cannot deal with complaints about individual pupils or settle disputes between you and the school.</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You can also send written comments to the school in a sealed envelope, marked 'confidential' and addressed to the Ofsted inspection team.</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Gathering personal information on inspection</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color w:val="000000"/>
          <w:sz w:val="24"/>
        </w:rPr>
        <w:t xml:space="preserve">Inspectors will gather any personal information necessary to assist them in inspecting a school. </w:t>
      </w:r>
      <w:hyperlink r:id="rId3">
        <w:r>
          <w:rPr>
            <w:rStyle w:val="Hyperlink"/>
            <w:b w:val="false"/>
            <w:color w:val="0000FF"/>
            <w:sz w:val="24"/>
            <w:u w:val="none"/>
          </w:rPr>
          <w:t>Our privacy policy</w:t>
        </w:r>
      </w:hyperlink>
      <w:r>
        <w:rPr>
          <w:b w:val="false"/>
          <w:color w:val="000000"/>
          <w:sz w:val="24"/>
        </w:rPr>
        <w:t xml:space="preserve"> sets out what personal information we collect, what we do with it, how long we keep it and individuals' rights under data protection legislation. The contact details for Ofsted's Data Protection Officer can also be found in our privacy notice.</w:t>
      </w:r>
    </w:p>
    <w:p>
      <w:pPr>
        <w:pStyle w:val="Normal"/>
        <w:bidi w:val="0"/>
        <w:jc w:val="start"/>
        <w:rPr>
          <w:rFonts w:ascii="Tahoma" w:hAnsi="Tahoma"/>
          <w:sz w:val="24"/>
        </w:rPr>
      </w:pPr>
      <w:r>
        <w:rPr>
          <w:sz w:val="24"/>
        </w:rPr>
      </w:r>
    </w:p>
    <w:p>
      <w:pPr>
        <w:pStyle w:val="Normal"/>
        <w:bidi w:val="0"/>
        <w:jc w:val="start"/>
        <w:rPr>
          <w:rFonts w:ascii="Tahoma" w:hAnsi="Tahoma"/>
          <w:b/>
          <w:color w:val="000000"/>
          <w:sz w:val="24"/>
        </w:rPr>
      </w:pPr>
      <w:r>
        <w:rPr>
          <w:b/>
          <w:color w:val="000000"/>
          <w:sz w:val="24"/>
        </w:rPr>
        <w:t>Changes to the inspection report card</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You may have seen in the news that the way Ofsted reports the findings of our inspections is changing. Our new-look report cards have been designed with you in mind and will give you a clearer picture of what is working well and where there are areas for improvement.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The inspection will no longer result in a one-word judgement, such as 'good' or 'outstanding'. Instead, the report card that we publish will show colour-coded grades for a number of different areas - so you can see how we have graded the areas that matter most to you. These are new grades and should not be compared to what you might have seen on earlier inspection reports.</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You can view a short video about our new report cards at:</w:t>
      </w:r>
    </w:p>
    <w:p>
      <w:pPr>
        <w:pStyle w:val="Normal"/>
        <w:bidi w:val="0"/>
        <w:jc w:val="start"/>
        <w:rPr>
          <w:rFonts w:ascii="Tahoma" w:hAnsi="Tahoma"/>
          <w:sz w:val="24"/>
        </w:rPr>
      </w:pPr>
      <w:hyperlink r:id="rId4">
        <w:r>
          <w:rPr>
            <w:rStyle w:val="Hyperlink"/>
            <w:b w:val="false"/>
            <w:color w:val="0000FF"/>
            <w:sz w:val="24"/>
            <w:u w:val="none"/>
          </w:rPr>
          <w:t>www.gov.uk/guidance/understanding-ofsted-report-cards-and-grades</w:t>
        </w:r>
      </w:hyperlink>
      <w:r>
        <w:rPr>
          <w:b w:val="false"/>
          <w:color w:val="000000"/>
          <w:sz w:val="24"/>
        </w:rPr>
        <w:t>.</w:t>
      </w:r>
    </w:p>
    <w:p>
      <w:pPr>
        <w:pStyle w:val="Normal"/>
        <w:bidi w:val="0"/>
        <w:jc w:val="start"/>
        <w:rPr>
          <w:rFonts w:ascii="Tahoma" w:hAnsi="Tahoma"/>
          <w:sz w:val="24"/>
        </w:rPr>
      </w:pPr>
      <w:r>
        <w:rPr>
          <w:sz w:val="24"/>
        </w:rPr>
      </w:r>
    </w:p>
    <w:p>
      <w:pPr>
        <w:pStyle w:val="Normal"/>
        <w:bidi w:val="0"/>
        <w:jc w:val="start"/>
        <w:rPr>
          <w:rFonts w:ascii="Tahoma" w:hAnsi="Tahoma"/>
          <w:b w:val="false"/>
          <w:color w:val="000000"/>
          <w:sz w:val="24"/>
        </w:rPr>
      </w:pPr>
      <w:r>
        <w:rPr>
          <w:b w:val="false"/>
          <w:color w:val="000000"/>
          <w:sz w:val="24"/>
        </w:rPr>
        <w:t>We hope you find the new report cards helpful and thank you in advance for taking the time to complete the online survey.</w:t>
      </w:r>
    </w:p>
    <w:p>
      <w:pPr>
        <w:pStyle w:val="Normal"/>
        <w:bidi w:val="0"/>
        <w:jc w:val="start"/>
        <w:rPr>
          <w:rFonts w:ascii="Tahoma" w:hAnsi="Tahoma"/>
          <w:sz w:val="24"/>
        </w:rPr>
      </w:pPr>
      <w:r>
        <w:rPr>
          <w:sz w:val="24"/>
        </w:rPr>
      </w:r>
    </w:p>
    <w:p>
      <w:pPr>
        <w:pStyle w:val="Normal"/>
        <w:bidi w:val="0"/>
        <w:spacing w:before="0" w:after="113"/>
        <w:jc w:val="start"/>
        <w:rPr>
          <w:rFonts w:ascii="Tahoma" w:hAnsi="Tahoma"/>
          <w:b w:val="false"/>
          <w:color w:val="000000"/>
          <w:sz w:val="24"/>
        </w:rPr>
      </w:pPr>
      <w:r>
        <w:rPr>
          <w:b w:val="false"/>
          <w:color w:val="000000"/>
          <w:sz w:val="24"/>
        </w:rPr>
        <w:t>Yours faithfully</w:t>
      </w:r>
    </w:p>
    <w:p>
      <w:pPr>
        <w:pStyle w:val="Normal"/>
        <w:bidi w:val="0"/>
        <w:spacing w:before="0" w:after="113"/>
        <w:jc w:val="start"/>
        <w:rPr>
          <w:rFonts w:ascii="Tahoma" w:hAnsi="Tahoma"/>
          <w:b w:val="false"/>
          <w:color w:val="000000"/>
          <w:sz w:val="24"/>
        </w:rPr>
      </w:pPr>
      <w:r>
        <w:rPr>
          <w:b w:val="false"/>
          <w:color w:val="000000"/>
          <w:sz w:val="24"/>
        </w:rPr>
        <w:t>Cathie Mair</w:t>
      </w:r>
    </w:p>
    <w:p>
      <w:pPr>
        <w:pStyle w:val="Normal"/>
        <w:bidi w:val="0"/>
        <w:jc w:val="start"/>
        <w:rPr>
          <w:rFonts w:ascii="Tahoma" w:hAnsi="Tahoma"/>
          <w:b w:val="false"/>
          <w:color w:val="000000"/>
          <w:sz w:val="24"/>
        </w:rPr>
      </w:pPr>
      <w:r>
        <w:rPr>
          <w:b w:val="false"/>
          <w:color w:val="000000"/>
          <w:sz w:val="24"/>
        </w:rPr>
        <w:t>Inspection support administrator</w:t>
      </w:r>
    </w:p>
    <w:p>
      <w:pPr>
        <w:pStyle w:val="Normal"/>
        <w:bidi w:val="0"/>
        <w:jc w:val="start"/>
        <w:rPr>
          <w:rFonts w:ascii="Tahoma" w:hAnsi="Tahoma"/>
          <w:sz w:val="24"/>
        </w:rPr>
      </w:pPr>
      <w:r>
        <w:rPr>
          <w:sz w:val="24"/>
        </w:rPr>
      </w:r>
    </w:p>
    <w:p>
      <w:pPr>
        <w:pStyle w:val="Normal"/>
        <w:bidi w:val="0"/>
        <w:jc w:val="start"/>
        <w:rPr/>
      </w:pPr>
      <w:r>
        <w:rPr/>
      </w:r>
      <w:bookmarkStart w:id="0" w:name="Section1End"/>
      <w:bookmarkStart w:id="1" w:name="Section1End"/>
      <w:bookmarkEnd w:id="1"/>
    </w:p>
    <w:p>
      <w:pPr>
        <w:pStyle w:val="Normal"/>
        <w:bidi w:val="0"/>
        <w:jc w:val="start"/>
        <w:rPr/>
      </w:pPr>
      <w:r>
        <w:rPr/>
      </w:r>
      <w:bookmarkStart w:id="2" w:name="Dummy1"/>
      <w:bookmarkStart w:id="3" w:name="Dummy1"/>
      <w:bookmarkEnd w:id="3"/>
    </w:p>
    <w:sectPr>
      <w:headerReference w:type="default" r:id="rId5"/>
      <w:headerReference w:type="first" r:id="rId6"/>
      <w:footerReference w:type="default" r:id="rId7"/>
      <w:footerReference w:type="first" r:id="rId8"/>
      <w:type w:val="nextPage"/>
      <w:pgSz w:w="11906" w:h="16838"/>
      <w:pgMar w:left="850" w:right="850" w:gutter="0" w:header="0" w:top="1531" w:footer="0" w:bottom="912"/>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0" w:type="dxa"/>
        <w:end w:w="0" w:type="dxa"/>
      </w:tblCellMar>
    </w:tblPr>
    <w:tblGrid>
      <w:gridCol w:w="7960"/>
      <w:gridCol w:w="2240"/>
    </w:tblGrid>
    <w:tr>
      <w:trPr>
        <w:trHeight w:val="284" w:hRule="exact"/>
      </w:trPr>
      <w:tc>
        <w:tcPr>
          <w:tcW w:w="10200" w:type="dxa"/>
          <w:gridSpan w:val="2"/>
          <w:tcBorders/>
        </w:tcPr>
        <w:p>
          <w:pPr>
            <w:pStyle w:val="Normal"/>
            <w:bidi w:val="0"/>
            <w:jc w:val="start"/>
            <w:rPr/>
          </w:pPr>
          <w:r>
            <w:rPr/>
          </w:r>
        </w:p>
      </w:tc>
    </w:tr>
    <w:tr>
      <w:trPr>
        <w:trHeight w:val="1134" w:hRule="atLeast"/>
      </w:trPr>
      <w:tc>
        <w:tcPr>
          <w:tcW w:w="7960" w:type="dxa"/>
          <w:tcBorders/>
        </w:tcPr>
        <w:p>
          <w:pPr>
            <w:pStyle w:val="Normal"/>
            <w:bidi w:val="0"/>
            <w:jc w:val="start"/>
            <w:rPr/>
          </w:pPr>
          <w:r>
            <w:rPr/>
          </w:r>
        </w:p>
      </w:tc>
      <w:tc>
        <w:tcPr>
          <w:tcW w:w="2240" w:type="dxa"/>
          <w:tcBorders/>
        </w:tcPr>
        <w:p>
          <w:pPr>
            <w:pStyle w:val="Normal"/>
            <w:bidi w:val="0"/>
            <w:jc w:val="end"/>
            <w:rPr/>
          </w:pPr>
          <w:r>
            <w:rPr/>
            <w:drawing>
              <wp:inline distT="0" distB="0" distL="0" distR="0">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pPr>
      <w:pStyle w:val="Header"/>
      <w:bidi w:val="0"/>
      <w:spacing w:lineRule="atLeast" w:line="0" w:before="0" w:after="0"/>
      <w:jc w:val="start"/>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0" w:type="dxa"/>
      <w:jc w:val="start"/>
      <w:tblInd w:w="560" w:type="dxa"/>
      <w:tblLayout w:type="fixed"/>
      <w:tblCellMar>
        <w:top w:w="0" w:type="dxa"/>
        <w:start w:w="0" w:type="dxa"/>
        <w:bottom w:w="0" w:type="dxa"/>
        <w:end w:w="0" w:type="dxa"/>
      </w:tblCellMar>
    </w:tblPr>
    <w:tblGrid>
      <w:gridCol w:w="2040"/>
      <w:gridCol w:w="2440"/>
      <w:gridCol w:w="2820"/>
      <w:gridCol w:w="2440"/>
    </w:tblGrid>
    <w:tr>
      <w:trPr>
        <w:trHeight w:val="568" w:hRule="exact"/>
      </w:trPr>
      <w:tc>
        <w:tcPr>
          <w:tcW w:w="9740" w:type="dxa"/>
          <w:gridSpan w:val="4"/>
          <w:tcBorders/>
        </w:tcPr>
        <w:p>
          <w:pPr>
            <w:pStyle w:val="Normal"/>
            <w:bidi w:val="0"/>
            <w:jc w:val="start"/>
            <w:rPr/>
          </w:pPr>
          <w:r>
            <w:rPr/>
          </w:r>
        </w:p>
      </w:tc>
    </w:tr>
    <w:tr>
      <w:trPr>
        <w:trHeight w:val="200" w:hRule="atLeast"/>
      </w:trPr>
      <w:tc>
        <w:tcPr>
          <w:tcW w:w="2040" w:type="dxa"/>
          <w:tcBorders/>
        </w:tcPr>
        <w:p>
          <w:pPr>
            <w:pStyle w:val="Normal"/>
            <w:bidi w:val="0"/>
            <w:jc w:val="start"/>
            <w:rPr>
              <w:rFonts w:ascii="Tahoma" w:hAnsi="Tahoma"/>
              <w:sz w:val="20"/>
            </w:rPr>
          </w:pPr>
          <w:r>
            <w:rPr>
              <w:sz w:val="20"/>
            </w:rPr>
            <w:t>Ofsted</w:t>
          </w:r>
        </w:p>
        <w:p>
          <w:pPr>
            <w:pStyle w:val="Normal"/>
            <w:bidi w:val="0"/>
            <w:jc w:val="start"/>
            <w:rPr>
              <w:rFonts w:ascii="Tahoma" w:hAnsi="Tahoma"/>
              <w:sz w:val="20"/>
            </w:rPr>
          </w:pPr>
          <w:r>
            <w:rPr>
              <w:sz w:val="20"/>
            </w:rPr>
            <w:t>Piccadilly Gate</w:t>
          </w:r>
        </w:p>
        <w:p>
          <w:pPr>
            <w:pStyle w:val="Normal"/>
            <w:bidi w:val="0"/>
            <w:jc w:val="start"/>
            <w:rPr>
              <w:rFonts w:ascii="Tahoma" w:hAnsi="Tahoma"/>
              <w:sz w:val="20"/>
            </w:rPr>
          </w:pPr>
          <w:r>
            <w:rPr>
              <w:sz w:val="20"/>
            </w:rPr>
            <w:t>Store Street</w:t>
          </w:r>
        </w:p>
        <w:p>
          <w:pPr>
            <w:pStyle w:val="Normal"/>
            <w:bidi w:val="0"/>
            <w:jc w:val="start"/>
            <w:rPr>
              <w:rFonts w:ascii="Tahoma" w:hAnsi="Tahoma"/>
              <w:sz w:val="20"/>
            </w:rPr>
          </w:pPr>
          <w:r>
            <w:rPr>
              <w:sz w:val="20"/>
            </w:rPr>
            <w:t>Manchester</w:t>
          </w:r>
        </w:p>
        <w:p>
          <w:pPr>
            <w:pStyle w:val="Normal"/>
            <w:bidi w:val="0"/>
            <w:jc w:val="start"/>
            <w:rPr>
              <w:rFonts w:ascii="Tahoma" w:hAnsi="Tahoma"/>
              <w:sz w:val="20"/>
            </w:rPr>
          </w:pPr>
          <w:r>
            <w:rPr>
              <w:sz w:val="20"/>
            </w:rPr>
            <w:t>M1 2WD</w:t>
          </w:r>
        </w:p>
      </w:tc>
      <w:tc>
        <w:tcPr>
          <w:tcW w:w="2440" w:type="dxa"/>
          <w:tcBorders/>
          <w:vAlign w:val="bottom"/>
        </w:tcPr>
        <w:p>
          <w:pPr>
            <w:pStyle w:val="Normal"/>
            <w:bidi w:val="0"/>
            <w:jc w:val="start"/>
            <w:rPr>
              <w:rFonts w:ascii="Tahoma" w:hAnsi="Tahoma"/>
              <w:sz w:val="20"/>
            </w:rPr>
          </w:pPr>
          <w:hyperlink r:id="rId1">
            <w:r>
              <w:rPr>
                <w:rStyle w:val="Hyperlink"/>
                <w:color w:val="0000FF"/>
                <w:sz w:val="20"/>
                <w:u w:val="none"/>
              </w:rPr>
              <w:t>enquiries@ofsted.gov.uk</w:t>
            </w:r>
          </w:hyperlink>
        </w:p>
        <w:p>
          <w:pPr>
            <w:pStyle w:val="Normal"/>
            <w:bidi w:val="0"/>
            <w:jc w:val="start"/>
            <w:rPr>
              <w:rFonts w:ascii="Tahoma" w:hAnsi="Tahoma"/>
              <w:sz w:val="20"/>
            </w:rPr>
          </w:pPr>
          <w:hyperlink r:id="rId2">
            <w:r>
              <w:rPr>
                <w:rStyle w:val="Hyperlink"/>
                <w:color w:val="0000FF"/>
                <w:sz w:val="20"/>
                <w:u w:val="none"/>
              </w:rPr>
              <w:t>www.gov.uk/ofsted</w:t>
            </w:r>
          </w:hyperlink>
        </w:p>
        <w:p>
          <w:pPr>
            <w:pStyle w:val="Normal"/>
            <w:bidi w:val="0"/>
            <w:jc w:val="start"/>
            <w:rPr>
              <w:rFonts w:ascii="Tahoma" w:hAnsi="Tahoma"/>
              <w:sz w:val="2"/>
            </w:rPr>
          </w:pPr>
          <w:r>
            <w:rPr>
              <w:sz w:val="2"/>
            </w:rPr>
          </w:r>
        </w:p>
      </w:tc>
      <w:tc>
        <w:tcPr>
          <w:tcW w:w="2820" w:type="dxa"/>
          <w:tcBorders/>
          <w:vAlign w:val="bottom"/>
        </w:tcPr>
        <w:p>
          <w:pPr>
            <w:pStyle w:val="Normal"/>
            <w:bidi w:val="0"/>
            <w:jc w:val="start"/>
            <w:rPr>
              <w:rFonts w:ascii="Tahoma" w:hAnsi="Tahoma"/>
              <w:sz w:val="20"/>
            </w:rPr>
          </w:pPr>
          <w:r>
            <w:rPr>
              <w:b/>
              <w:color w:val="000000"/>
              <w:sz w:val="20"/>
            </w:rPr>
            <w:t xml:space="preserve">Direct T </w:t>
          </w:r>
          <w:r>
            <w:rPr>
              <w:b w:val="false"/>
              <w:color w:val="000000"/>
              <w:sz w:val="20"/>
            </w:rPr>
            <w:t>03000131358</w:t>
          </w:r>
        </w:p>
        <w:p>
          <w:pPr>
            <w:pStyle w:val="Normal"/>
            <w:bidi w:val="0"/>
            <w:jc w:val="start"/>
            <w:rPr>
              <w:rFonts w:ascii="Tahoma" w:hAnsi="Tahoma"/>
              <w:sz w:val="20"/>
            </w:rPr>
          </w:pPr>
          <w:hyperlink r:id="rId3">
            <w:r>
              <w:rPr>
                <w:rStyle w:val="Hyperlink"/>
                <w:b w:val="false"/>
                <w:color w:val="0000FF"/>
                <w:sz w:val="20"/>
                <w:u w:val="none"/>
              </w:rPr>
              <w:t>Cathie.Mair@ofsted.gov.uk</w:t>
            </w:r>
          </w:hyperlink>
        </w:p>
        <w:p>
          <w:pPr>
            <w:pStyle w:val="Normal"/>
            <w:bidi w:val="0"/>
            <w:jc w:val="start"/>
            <w:rPr>
              <w:rFonts w:ascii="Tahoma" w:hAnsi="Tahoma"/>
              <w:sz w:val="2"/>
            </w:rPr>
          </w:pPr>
          <w:r>
            <w:rPr>
              <w:sz w:val="2"/>
            </w:rPr>
          </w:r>
        </w:p>
      </w:tc>
      <w:tc>
        <w:tcPr>
          <w:tcW w:w="2440" w:type="dxa"/>
          <w:vMerge w:val="restart"/>
          <w:tcBorders/>
          <w:vAlign w:val="center"/>
        </w:tcPr>
        <w:p>
          <w:pPr>
            <w:pStyle w:val="Normal"/>
            <w:bidi w:val="0"/>
            <w:jc w:val="end"/>
            <w:rPr>
              <w:rFonts w:ascii="Tahoma" w:hAnsi="Tahoma"/>
              <w:sz w:val="20"/>
            </w:rPr>
          </w:pPr>
          <w:r>
            <w:rPr>
              <w:sz w:val="20"/>
            </w:rPr>
            <w:drawing>
              <wp:inline distT="0" distB="0" distL="0" distR="0">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pPr>
            <w:pStyle w:val="Normal"/>
            <w:bidi w:val="0"/>
            <w:jc w:val="end"/>
            <w:rPr>
              <w:rFonts w:ascii="Tahoma" w:hAnsi="Tahoma"/>
              <w:sz w:val="2"/>
            </w:rPr>
          </w:pPr>
          <w:r>
            <w:rPr>
              <w:sz w:val="2"/>
            </w:rPr>
          </w:r>
        </w:p>
      </w:tc>
    </w:tr>
    <w:tr>
      <w:trPr>
        <w:trHeight w:val="200" w:hRule="atLeast"/>
      </w:trPr>
      <w:tc>
        <w:tcPr>
          <w:tcW w:w="2040" w:type="dxa"/>
          <w:tcBorders/>
        </w:tcPr>
        <w:p>
          <w:pPr>
            <w:pStyle w:val="Normal"/>
            <w:bidi w:val="0"/>
            <w:jc w:val="start"/>
            <w:rPr>
              <w:rFonts w:ascii="Tahoma" w:hAnsi="Tahoma"/>
              <w:sz w:val="24"/>
            </w:rPr>
          </w:pPr>
          <w:r>
            <w:rPr>
              <w:sz w:val="24"/>
            </w:rPr>
          </w:r>
        </w:p>
      </w:tc>
      <w:tc>
        <w:tcPr>
          <w:tcW w:w="2440" w:type="dxa"/>
          <w:tcBorders/>
          <w:vAlign w:val="bottom"/>
        </w:tcPr>
        <w:p>
          <w:pPr>
            <w:pStyle w:val="Normal"/>
            <w:bidi w:val="0"/>
            <w:jc w:val="start"/>
            <w:rPr>
              <w:rFonts w:ascii="Tahoma" w:hAnsi="Tahoma"/>
              <w:sz w:val="24"/>
            </w:rPr>
          </w:pPr>
          <w:r>
            <w:rPr>
              <w:sz w:val="24"/>
            </w:rPr>
          </w:r>
        </w:p>
      </w:tc>
      <w:tc>
        <w:tcPr>
          <w:tcW w:w="2820" w:type="dxa"/>
          <w:tcBorders/>
          <w:vAlign w:val="bottom"/>
        </w:tcPr>
        <w:p>
          <w:pPr>
            <w:pStyle w:val="Normal"/>
            <w:bidi w:val="0"/>
            <w:jc w:val="start"/>
            <w:rPr>
              <w:rFonts w:ascii="Tahoma" w:hAnsi="Tahoma"/>
              <w:sz w:val="24"/>
            </w:rPr>
          </w:pPr>
          <w:r>
            <w:rPr>
              <w:sz w:val="24"/>
            </w:rPr>
          </w:r>
        </w:p>
      </w:tc>
      <w:tc>
        <w:tcPr>
          <w:tcW w:w="2440" w:type="dxa"/>
          <w:vMerge w:val="continue"/>
          <w:tcBorders/>
          <w:vAlign w:val="center"/>
        </w:tcPr>
        <w:p>
          <w:pPr>
            <w:pStyle w:val="Normal"/>
            <w:bidi w:val="0"/>
            <w:jc w:val="start"/>
            <w:rPr/>
          </w:pPr>
          <w:r>
            <w:rPr/>
          </w:r>
        </w:p>
      </w:tc>
    </w:tr>
  </w:tbl>
  <w:p>
    <w:pPr>
      <w:pStyle w:val="Normal"/>
      <w:bidi w:val="0"/>
      <w:spacing w:lineRule="atLeast" w:line="0" w:before="0" w:after="0"/>
      <w:jc w:val="start"/>
      <w:rPr>
        <w:sz w:val="2"/>
      </w:rPr>
    </w:pPr>
    <w:r>
      <w:rPr>
        <w:sz w:val="2"/>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jc w:val="start"/>
    </w:pPr>
    <w:rPr>
      <w:rFonts w:ascii="Tahoma" w:hAnsi="Tahoma" w:eastAsia="NSimSun" w:cs="Arial"/>
      <w:color w:val="auto"/>
      <w:kern w:val="2"/>
      <w:sz w:val="24"/>
      <w:szCs w:val="24"/>
      <w:lang w:val="en-GB" w:eastAsia="zh-CN" w:bidi="hi-IN"/>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eading116useforchapterheadingsapplyBoldtag">
    <w:name w:val="Heading 1 (16): use for chapter headings (apply Bold tag)"/>
    <w:qFormat/>
    <w:rPr>
      <w:rFonts w:ascii="Tahoma" w:hAnsi="Tahoma"/>
      <w:sz w:val="32"/>
    </w:rPr>
  </w:style>
  <w:style w:type="character" w:styleId="Heading214useformainsectionheadingswithinchaptersapplyBoldtag">
    <w:name w:val="Heading 2 (14): use for main section headings within chapters (apply Bold tag)"/>
    <w:qFormat/>
    <w:rPr>
      <w:rFonts w:ascii="Tahoma" w:hAnsi="Tahoma"/>
      <w:sz w:val="28"/>
    </w:rPr>
  </w:style>
  <w:style w:type="character" w:styleId="Heading312useforsub-headingswithinmainsectionsapplyBoldtag">
    <w:name w:val="Heading 3 (12): use for sub-headings within main sections (apply Bold tag)"/>
    <w:qFormat/>
    <w:rPr>
      <w:rFonts w:ascii="Tahoma" w:hAnsi="Tahoma"/>
      <w:sz w:val="24"/>
    </w:rPr>
  </w:style>
  <w:style w:type="character" w:styleId="Normal12">
    <w:name w:val="Normal (12)"/>
    <w:qFormat/>
    <w:rPr>
      <w:rFonts w:ascii="Tahoma" w:hAnsi="Tahoma"/>
      <w:sz w:val="24"/>
    </w:rPr>
  </w:style>
  <w:style w:type="character" w:styleId="Hyperlink">
    <w:name w:val="Hyperlink"/>
    <w:rPr>
      <w:color w:val="00008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pPr>
      <w:suppressLineNumbers/>
      <w:tabs>
        <w:tab w:val="clear" w:pos="709"/>
      </w:tabs>
      <w:ind w:hanging="113" w:start="113" w:end="0"/>
    </w:pPr>
    <w:rPr>
      <w:sz w:val="20"/>
      <w:szCs w:val="20"/>
    </w:rPr>
  </w:style>
  <w:style w:type="paragraph" w:styleId="OAddress">
    <w:name w:val="O_Address"/>
    <w:qFormat/>
    <w:pPr>
      <w:widowControl/>
      <w:kinsoku w:val="true"/>
      <w:overflowPunct w:val="true"/>
      <w:autoSpaceDE w:val="true"/>
      <w:bidi w:val="0"/>
      <w:spacing w:before="17" w:after="17"/>
      <w:jc w:val="both"/>
    </w:pPr>
    <w:rPr>
      <w:rFonts w:ascii="Tahoma" w:hAnsi="Tahoma" w:eastAsia="NSimSun" w:cs="Arial"/>
      <w:color w:val="auto"/>
      <w:kern w:val="2"/>
      <w:sz w:val="20"/>
      <w:szCs w:val="24"/>
      <w:lang w:val="en-GB" w:eastAsia="zh-CN" w:bidi="hi-IN"/>
    </w:rPr>
  </w:style>
  <w:style w:type="paragraph" w:styleId="OBoxHeadA">
    <w:name w:val="O_BoxHeadA"/>
    <w:basedOn w:val="OBoxHeadB"/>
    <w:qFormat/>
    <w:pPr>
      <w:spacing w:before="0" w:after="159"/>
    </w:pPr>
    <w:rPr>
      <w:rFonts w:ascii="Tahoma" w:hAnsi="Tahoma"/>
      <w:b/>
      <w:sz w:val="28"/>
    </w:rPr>
  </w:style>
  <w:style w:type="paragraph" w:styleId="OBoxHeadB">
    <w:name w:val="O_BoxHeadB"/>
    <w:qFormat/>
    <w:pPr>
      <w:widowControl/>
      <w:kinsoku w:val="true"/>
      <w:overflowPunct w:val="true"/>
      <w:autoSpaceDE w:val="true"/>
      <w:bidi w:val="0"/>
      <w:spacing w:before="159" w:after="119"/>
      <w:jc w:val="start"/>
    </w:pPr>
    <w:rPr>
      <w:rFonts w:ascii="Tahoma" w:hAnsi="Tahoma" w:eastAsia="NSimSun" w:cs="Arial"/>
      <w:b/>
      <w:color w:val="auto"/>
      <w:kern w:val="2"/>
      <w:sz w:val="22"/>
      <w:szCs w:val="24"/>
      <w:lang w:val="en-GB" w:eastAsia="zh-CN" w:bidi="hi-IN"/>
    </w:rPr>
  </w:style>
  <w:style w:type="paragraph" w:styleId="OBoxHeadB10">
    <w:name w:val="O_BoxHeadB10"/>
    <w:basedOn w:val="OBoxHeadB"/>
    <w:qFormat/>
    <w:pPr>
      <w:spacing w:before="79" w:after="0"/>
      <w:jc w:val="start"/>
    </w:pPr>
    <w:rPr>
      <w:rFonts w:ascii="Tahoma" w:hAnsi="Tahoma"/>
      <w:b/>
      <w:sz w:val="20"/>
    </w:rPr>
  </w:style>
  <w:style w:type="paragraph" w:styleId="OCoverAddress">
    <w:name w:val="O_CoverAddress"/>
    <w:basedOn w:val="OCoverDate"/>
    <w:qFormat/>
    <w:pPr>
      <w:spacing w:before="0" w:after="40"/>
      <w:jc w:val="start"/>
    </w:pPr>
    <w:rPr>
      <w:rFonts w:ascii="Tahoma" w:hAnsi="Tahoma"/>
      <w:sz w:val="20"/>
    </w:rPr>
  </w:style>
  <w:style w:type="paragraph" w:styleId="OCoverDate">
    <w:name w:val="O_CoverDate"/>
    <w:qFormat/>
    <w:pPr>
      <w:widowControl/>
      <w:kinsoku w:val="true"/>
      <w:overflowPunct w:val="true"/>
      <w:autoSpaceDE w:val="true"/>
      <w:bidi w:val="0"/>
      <w:jc w:val="start"/>
    </w:pPr>
    <w:rPr>
      <w:rFonts w:ascii="Tahoma" w:hAnsi="Tahoma" w:eastAsia="NSimSun" w:cs="Arial"/>
      <w:color w:val="auto"/>
      <w:kern w:val="2"/>
      <w:sz w:val="22"/>
      <w:szCs w:val="24"/>
      <w:lang w:val="en-GB" w:eastAsia="zh-CN" w:bidi="hi-IN"/>
    </w:rPr>
  </w:style>
  <w:style w:type="paragraph" w:styleId="OCoverInput">
    <w:name w:val="O_CoverInput"/>
    <w:qFormat/>
    <w:pPr>
      <w:widowControl/>
      <w:kinsoku w:val="true"/>
      <w:overflowPunct w:val="true"/>
      <w:autoSpaceDE w:val="true"/>
      <w:bidi w:val="0"/>
      <w:jc w:val="start"/>
    </w:pPr>
    <w:rPr>
      <w:rFonts w:ascii="Tahoma" w:hAnsi="Tahoma" w:eastAsia="NSimSun" w:cs="Arial"/>
      <w:color w:val="auto"/>
      <w:kern w:val="2"/>
      <w:sz w:val="64"/>
      <w:szCs w:val="24"/>
      <w:lang w:val="en-GB" w:eastAsia="zh-CN" w:bidi="hi-IN"/>
    </w:rPr>
  </w:style>
  <w:style w:type="paragraph" w:styleId="NNormal10">
    <w:name w:val="N_Normal10"/>
    <w:qFormat/>
    <w:pPr>
      <w:widowControl/>
      <w:kinsoku w:val="true"/>
      <w:overflowPunct w:val="true"/>
      <w:autoSpaceDE w:val="true"/>
      <w:bidi w:val="0"/>
      <w:jc w:val="start"/>
    </w:pPr>
    <w:rPr>
      <w:rFonts w:ascii="Tahoma" w:hAnsi="Tahoma" w:eastAsia="NSimSun" w:cs="Arial"/>
      <w:color w:val="auto"/>
      <w:kern w:val="2"/>
      <w:sz w:val="20"/>
      <w:szCs w:val="24"/>
      <w:lang w:val="en-GB" w:eastAsia="zh-CN" w:bidi="hi-IN"/>
    </w:rPr>
  </w:style>
  <w:style w:type="paragraph" w:styleId="OPageEnd">
    <w:name w:val="O_PageEnd"/>
    <w:basedOn w:val="OSpacer"/>
    <w:qFormat/>
    <w:pPr>
      <w:spacing w:before="0" w:after="19979"/>
      <w:jc w:val="both"/>
    </w:pPr>
    <w:rPr>
      <w:rFonts w:ascii="Tahoma" w:hAnsi="Tahoma"/>
      <w:sz w:val="12"/>
    </w:rPr>
  </w:style>
  <w:style w:type="paragraph" w:styleId="OSpacer">
    <w:name w:val="O_Spacer"/>
    <w:qFormat/>
    <w:pPr>
      <w:widowControl/>
      <w:kinsoku w:val="true"/>
      <w:overflowPunct w:val="true"/>
      <w:autoSpaceDE w:val="true"/>
      <w:bidi w:val="0"/>
      <w:jc w:val="both"/>
    </w:pPr>
    <w:rPr>
      <w:rFonts w:ascii="Tahoma" w:hAnsi="Tahoma" w:eastAsia="NSimSun" w:cs="Arial"/>
      <w:color w:val="auto"/>
      <w:kern w:val="2"/>
      <w:sz w:val="12"/>
      <w:szCs w:val="24"/>
      <w:lang w:val="en-GB" w:eastAsia="zh-CN" w:bidi="hi-IN"/>
    </w:rPr>
  </w:style>
  <w:style w:type="paragraph" w:styleId="OSummary">
    <w:name w:val="O_Summary"/>
    <w:basedOn w:val="OBoxHeadB"/>
    <w:qFormat/>
    <w:pPr/>
    <w:rPr>
      <w:rFonts w:ascii="Tahoma" w:hAnsi="Tahoma"/>
      <w:sz w:val="32"/>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entview.ofsted.gov.uk/" TargetMode="External"/><Relationship Id="rId3" Type="http://schemas.openxmlformats.org/officeDocument/2006/relationships/hyperlink" Target="https://www.gov.uk/government/publications/ofsted-privacy-notices/schools-ofsted-privacy-notice" TargetMode="External"/><Relationship Id="rId4" Type="http://schemas.openxmlformats.org/officeDocument/2006/relationships/hyperlink" Target="https://www.gov.uk/guidance/understanding-ofsted-report-cards-and-grades"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parentview.ofsted.gov.uk/" TargetMode="External"/><Relationship Id="rId2" Type="http://schemas.openxmlformats.org/officeDocument/2006/relationships/hyperlink" Target="http://www.gov.uk/government/organisations/ofsted" TargetMode="External"/>
</Relationships>
</file>

<file path=word/_rels/footer2.xml.rels><?xml version="1.0" encoding="UTF-8"?>
<Relationships xmlns="http://schemas.openxmlformats.org/package/2006/relationships"><Relationship Id="rId1" Type="http://schemas.openxmlformats.org/officeDocument/2006/relationships/hyperlink" Target="https://parentview.ofsted.gov.uk/" TargetMode="External"/><Relationship Id="rId2" Type="http://schemas.openxmlformats.org/officeDocument/2006/relationships/hyperlink" Target="http://www.gov.uk/government/organisations/ofsted"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hyperlink" Target="mailto:Cathie.Mair@ofsted.gov.uk" TargetMode="External"/><Relationship Id="rId4"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LibreOffice/25.8.1.1$Windows_X86_64 LibreOffice_project/54047653041915e595ad4e45cccea684809c77b5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